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97" w:rsidRPr="002D28E1" w:rsidRDefault="00A17F97" w:rsidP="00A17F97">
      <w:pPr>
        <w:jc w:val="center"/>
        <w:rPr>
          <w:b/>
          <w:sz w:val="28"/>
          <w:szCs w:val="28"/>
          <w:lang w:val="uk-UA"/>
        </w:rPr>
      </w:pPr>
      <w:r w:rsidRPr="002D28E1">
        <w:rPr>
          <w:b/>
          <w:sz w:val="28"/>
          <w:szCs w:val="28"/>
          <w:lang w:val="uk-UA"/>
        </w:rPr>
        <w:t xml:space="preserve">Роздрібний товарооборот підприємств роздрібної торгівлі </w:t>
      </w:r>
    </w:p>
    <w:p w:rsidR="00A17F97" w:rsidRPr="002D28E1" w:rsidRDefault="00A17F97" w:rsidP="00A17F97">
      <w:pPr>
        <w:jc w:val="center"/>
        <w:rPr>
          <w:b/>
          <w:sz w:val="28"/>
          <w:szCs w:val="28"/>
          <w:lang w:val="uk-UA"/>
        </w:rPr>
      </w:pPr>
    </w:p>
    <w:p w:rsidR="00A17F97" w:rsidRPr="002D28E1" w:rsidRDefault="00A17F97" w:rsidP="00A17F97">
      <w:pPr>
        <w:pStyle w:val="2"/>
        <w:spacing w:after="0" w:line="240" w:lineRule="auto"/>
        <w:ind w:left="0" w:firstLine="720"/>
        <w:jc w:val="both"/>
        <w:rPr>
          <w:sz w:val="28"/>
          <w:szCs w:val="28"/>
          <w:lang w:val="uk-UA"/>
        </w:rPr>
      </w:pPr>
      <w:r w:rsidRPr="002D28E1">
        <w:rPr>
          <w:sz w:val="28"/>
          <w:szCs w:val="28"/>
          <w:lang w:val="uk-UA"/>
        </w:rPr>
        <w:t xml:space="preserve">Обсяг роздрібного товарообороту підприємств, основним видом економічної діяльності яких є роздрібна торгівля, у січні–вересні 2020р. становив 141854,2 </w:t>
      </w:r>
      <w:proofErr w:type="spellStart"/>
      <w:r w:rsidRPr="002D28E1">
        <w:rPr>
          <w:sz w:val="28"/>
          <w:szCs w:val="28"/>
          <w:lang w:val="uk-UA"/>
        </w:rPr>
        <w:t>млн.грн</w:t>
      </w:r>
      <w:proofErr w:type="spellEnd"/>
      <w:r w:rsidRPr="002D28E1">
        <w:rPr>
          <w:sz w:val="28"/>
          <w:szCs w:val="28"/>
          <w:lang w:val="uk-UA"/>
        </w:rPr>
        <w:t xml:space="preserve">, що в порівнянних цінах на </w:t>
      </w:r>
      <w:r w:rsidRPr="002D28E1">
        <w:rPr>
          <w:noProof/>
          <w:sz w:val="28"/>
          <w:szCs w:val="28"/>
          <w:lang w:val="uk-UA"/>
        </w:rPr>
        <w:t>5,5</w:t>
      </w:r>
      <w:r w:rsidRPr="002D28E1">
        <w:rPr>
          <w:sz w:val="28"/>
          <w:szCs w:val="28"/>
          <w:lang w:val="uk-UA"/>
        </w:rPr>
        <w:t>% більше, від обсягу січня–вересня 2019р.</w:t>
      </w:r>
    </w:p>
    <w:p w:rsidR="00A17F97" w:rsidRPr="002D28E1" w:rsidRDefault="00A17F97" w:rsidP="00A17F97">
      <w:pPr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2D28E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196850</wp:posOffset>
                </wp:positionV>
                <wp:extent cx="2181225" cy="2695575"/>
                <wp:effectExtent l="0" t="381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7F97" w:rsidRDefault="00A17F97" w:rsidP="00A17F97"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>
                                  <wp:extent cx="1038225" cy="4238625"/>
                                  <wp:effectExtent l="0" t="0" r="0" b="0"/>
                                  <wp:docPr id="1" name="Диаграмм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61pt;margin-top:15.5pt;width:171.7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" o:allowincell="f" filled="f" stroked="f" strokeweight="0">
                <v:textbox inset="0,0,0,0">
                  <w:txbxContent>
                    <w:p w:rsidR="00A17F97" w:rsidRDefault="00A17F97" w:rsidP="00A17F97">
                      <w:r>
                        <w:rPr>
                          <w:noProof/>
                          <w:lang w:val="uk-UA" w:eastAsia="uk-UA"/>
                        </w:rPr>
                        <w:drawing>
                          <wp:inline distT="0" distB="0" distL="0" distR="0">
                            <wp:extent cx="1038225" cy="4238625"/>
                            <wp:effectExtent l="0" t="0" r="0" b="0"/>
                            <wp:docPr id="1" name="Диаграмм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D28E1">
        <w:rPr>
          <w:sz w:val="28"/>
          <w:szCs w:val="28"/>
          <w:lang w:val="uk-UA"/>
        </w:rPr>
        <w:t>У структурі роздрібного т</w:t>
      </w:r>
      <w:r w:rsidRPr="002D28E1">
        <w:rPr>
          <w:sz w:val="28"/>
          <w:szCs w:val="28"/>
          <w:lang w:val="uk-UA"/>
        </w:rPr>
        <w:t>о</w:t>
      </w:r>
      <w:r w:rsidRPr="002D28E1">
        <w:rPr>
          <w:sz w:val="28"/>
          <w:szCs w:val="28"/>
          <w:lang w:val="uk-UA"/>
        </w:rPr>
        <w:t>варообороту підприємств у січні–вересні 2020р. частка прод</w:t>
      </w:r>
      <w:r w:rsidRPr="002D28E1">
        <w:rPr>
          <w:sz w:val="28"/>
          <w:szCs w:val="28"/>
          <w:lang w:val="uk-UA"/>
        </w:rPr>
        <w:t>а</w:t>
      </w:r>
      <w:r w:rsidRPr="002D28E1">
        <w:rPr>
          <w:sz w:val="28"/>
          <w:szCs w:val="28"/>
          <w:lang w:val="uk-UA"/>
        </w:rPr>
        <w:t>жу продовольчих т</w:t>
      </w:r>
      <w:r w:rsidRPr="002D28E1">
        <w:rPr>
          <w:sz w:val="28"/>
          <w:szCs w:val="28"/>
          <w:lang w:val="uk-UA"/>
        </w:rPr>
        <w:t>о</w:t>
      </w:r>
      <w:r w:rsidRPr="002D28E1">
        <w:rPr>
          <w:sz w:val="28"/>
          <w:szCs w:val="28"/>
          <w:lang w:val="uk-UA"/>
        </w:rPr>
        <w:t xml:space="preserve">варів становила </w:t>
      </w:r>
      <w:r w:rsidRPr="002D28E1">
        <w:rPr>
          <w:noProof/>
          <w:sz w:val="28"/>
          <w:szCs w:val="28"/>
          <w:lang w:val="uk-UA"/>
        </w:rPr>
        <w:t>45,6</w:t>
      </w:r>
      <w:r w:rsidRPr="002D28E1">
        <w:rPr>
          <w:sz w:val="28"/>
          <w:szCs w:val="28"/>
        </w:rPr>
        <w:t>%</w:t>
      </w:r>
      <w:r w:rsidRPr="002D28E1">
        <w:rPr>
          <w:sz w:val="28"/>
          <w:szCs w:val="28"/>
          <w:lang w:val="uk-UA"/>
        </w:rPr>
        <w:t>,</w:t>
      </w:r>
      <w:r w:rsidRPr="002D28E1">
        <w:rPr>
          <w:sz w:val="28"/>
          <w:szCs w:val="28"/>
        </w:rPr>
        <w:t xml:space="preserve"> </w:t>
      </w:r>
      <w:r w:rsidRPr="002D28E1">
        <w:rPr>
          <w:sz w:val="28"/>
          <w:szCs w:val="28"/>
          <w:lang w:val="uk-UA"/>
        </w:rPr>
        <w:t xml:space="preserve">непродовольчих товарів – </w:t>
      </w:r>
      <w:r w:rsidRPr="002D28E1">
        <w:rPr>
          <w:noProof/>
          <w:sz w:val="28"/>
          <w:szCs w:val="28"/>
          <w:lang w:val="uk-UA"/>
        </w:rPr>
        <w:t>54,4</w:t>
      </w:r>
      <w:r w:rsidRPr="002D28E1">
        <w:rPr>
          <w:sz w:val="28"/>
          <w:szCs w:val="28"/>
          <w:lang w:val="uk-UA"/>
        </w:rPr>
        <w:t xml:space="preserve">% (у січні–вересні 2019р. – </w:t>
      </w:r>
      <w:r w:rsidRPr="002D28E1">
        <w:rPr>
          <w:noProof/>
          <w:sz w:val="28"/>
          <w:szCs w:val="28"/>
          <w:lang w:val="uk-UA"/>
        </w:rPr>
        <w:t>43,1</w:t>
      </w:r>
      <w:r w:rsidRPr="002D28E1">
        <w:rPr>
          <w:sz w:val="28"/>
          <w:szCs w:val="28"/>
          <w:lang w:val="uk-UA"/>
        </w:rPr>
        <w:t xml:space="preserve">% та </w:t>
      </w:r>
      <w:r w:rsidRPr="002D28E1">
        <w:rPr>
          <w:noProof/>
          <w:sz w:val="28"/>
          <w:szCs w:val="28"/>
          <w:lang w:val="uk-UA"/>
        </w:rPr>
        <w:t>56,9</w:t>
      </w:r>
      <w:r w:rsidRPr="002D28E1">
        <w:rPr>
          <w:sz w:val="28"/>
          <w:szCs w:val="28"/>
          <w:lang w:val="uk-UA"/>
        </w:rPr>
        <w:t>% відповідно).</w:t>
      </w:r>
    </w:p>
    <w:p w:rsidR="00A17F97" w:rsidRPr="002D28E1" w:rsidRDefault="00A17F97" w:rsidP="00A17F97">
      <w:pPr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2D28E1">
        <w:rPr>
          <w:sz w:val="28"/>
          <w:szCs w:val="28"/>
          <w:lang w:val="uk-UA"/>
        </w:rPr>
        <w:t xml:space="preserve">Обсяг продажу продовольчих товарів у січні–вересні 2020р. склав </w:t>
      </w:r>
      <w:r w:rsidRPr="002D28E1">
        <w:rPr>
          <w:spacing w:val="-2"/>
          <w:sz w:val="28"/>
          <w:szCs w:val="28"/>
          <w:lang w:val="uk-UA"/>
        </w:rPr>
        <w:t xml:space="preserve">64688,0 </w:t>
      </w:r>
      <w:proofErr w:type="spellStart"/>
      <w:r w:rsidRPr="002D28E1">
        <w:rPr>
          <w:sz w:val="28"/>
          <w:szCs w:val="28"/>
          <w:lang w:val="uk-UA"/>
        </w:rPr>
        <w:t>млн.грн</w:t>
      </w:r>
      <w:proofErr w:type="spellEnd"/>
      <w:r w:rsidRPr="002D28E1">
        <w:rPr>
          <w:sz w:val="28"/>
          <w:szCs w:val="28"/>
          <w:lang w:val="uk-UA"/>
        </w:rPr>
        <w:t>, і в порівнянних цінах зріс проти січня–вересня 2019р. на 8,5%. Серед товарів продовольчої групи за обсягом товарообороту найбільше було реалізовано алкогольних напоїв (15,6%), м’ясопродуктів (12,7%), молочних продуктів (12,4%), кондитерських виробів (11,1%),</w:t>
      </w:r>
      <w:r>
        <w:rPr>
          <w:sz w:val="28"/>
          <w:szCs w:val="28"/>
          <w:lang w:val="uk-UA"/>
        </w:rPr>
        <w:t xml:space="preserve"> </w:t>
      </w:r>
      <w:r w:rsidRPr="002D28E1">
        <w:rPr>
          <w:sz w:val="28"/>
          <w:szCs w:val="28"/>
          <w:lang w:val="uk-UA"/>
        </w:rPr>
        <w:t>фруктів та овочів свіжих (9,0%).</w:t>
      </w:r>
    </w:p>
    <w:p w:rsidR="00A17F97" w:rsidRPr="002D28E1" w:rsidRDefault="00A17F97" w:rsidP="00A17F97">
      <w:pPr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2D28E1">
        <w:rPr>
          <w:sz w:val="28"/>
          <w:szCs w:val="28"/>
          <w:lang w:val="uk-UA"/>
        </w:rPr>
        <w:t xml:space="preserve">Обсяг продажу непродовольчих товарів у січні–вересні 2020р. склав 77166,2 </w:t>
      </w:r>
      <w:proofErr w:type="spellStart"/>
      <w:r w:rsidRPr="002D28E1">
        <w:rPr>
          <w:sz w:val="28"/>
          <w:szCs w:val="28"/>
          <w:lang w:val="uk-UA"/>
        </w:rPr>
        <w:t>млн.грн</w:t>
      </w:r>
      <w:proofErr w:type="spellEnd"/>
      <w:r w:rsidRPr="002D28E1">
        <w:rPr>
          <w:sz w:val="28"/>
          <w:szCs w:val="28"/>
          <w:lang w:val="uk-UA"/>
        </w:rPr>
        <w:t xml:space="preserve">, та відповідно </w:t>
      </w:r>
      <w:r w:rsidRPr="002D28E1">
        <w:rPr>
          <w:noProof/>
          <w:sz w:val="28"/>
          <w:szCs w:val="28"/>
          <w:lang w:val="uk-UA"/>
        </w:rPr>
        <w:t>збільшився</w:t>
      </w:r>
      <w:r w:rsidRPr="002D28E1">
        <w:rPr>
          <w:sz w:val="28"/>
          <w:szCs w:val="28"/>
          <w:lang w:val="uk-UA"/>
        </w:rPr>
        <w:t xml:space="preserve"> проти січня–вересня 2019р. на </w:t>
      </w:r>
      <w:r w:rsidRPr="002D28E1">
        <w:rPr>
          <w:noProof/>
          <w:sz w:val="28"/>
          <w:szCs w:val="28"/>
          <w:lang w:val="uk-UA"/>
        </w:rPr>
        <w:t>3,3</w:t>
      </w:r>
      <w:r w:rsidRPr="002D28E1">
        <w:rPr>
          <w:sz w:val="28"/>
          <w:szCs w:val="28"/>
          <w:lang w:val="uk-UA"/>
        </w:rPr>
        <w:t>%. За обсягом товарообороту серед непродовольчих товарів переважали автомобілі, деталі та приладдя для них (14,1%), фармацевтичні товари (11,2%), одяг (9,5%), косметичні товари й вироби для туалетних кімнат (6,9%), матеріали будівельні та залізні вироби (6,5%).</w:t>
      </w:r>
    </w:p>
    <w:p w:rsidR="00A17F97" w:rsidRPr="002D28E1" w:rsidRDefault="00A17F97" w:rsidP="00A17F97">
      <w:pPr>
        <w:pStyle w:val="a5"/>
        <w:tabs>
          <w:tab w:val="left" w:pos="709"/>
        </w:tabs>
        <w:spacing w:after="0"/>
        <w:ind w:firstLine="720"/>
        <w:jc w:val="both"/>
        <w:rPr>
          <w:sz w:val="28"/>
          <w:szCs w:val="28"/>
          <w:lang w:val="uk-UA"/>
        </w:rPr>
      </w:pPr>
      <w:r w:rsidRPr="002D28E1">
        <w:rPr>
          <w:sz w:val="28"/>
          <w:szCs w:val="28"/>
          <w:lang w:val="uk-UA"/>
        </w:rPr>
        <w:t xml:space="preserve">Питома вага роздрібного продажу товарів, які вироблені на території України, у січні–вересні 2020р. порівняно з січнем–вереснем 2019р. збільшилася на 2,1 </w:t>
      </w:r>
      <w:proofErr w:type="spellStart"/>
      <w:r w:rsidRPr="002D28E1">
        <w:rPr>
          <w:sz w:val="28"/>
          <w:szCs w:val="28"/>
          <w:lang w:val="uk-UA"/>
        </w:rPr>
        <w:t>в.п</w:t>
      </w:r>
      <w:proofErr w:type="spellEnd"/>
      <w:r w:rsidRPr="002D28E1">
        <w:rPr>
          <w:sz w:val="28"/>
          <w:szCs w:val="28"/>
          <w:lang w:val="uk-UA"/>
        </w:rPr>
        <w:t>. і становила 47,1% від загального обсягу продажу. Частка продажу продовольчих товарів українського виробника склала 75,1%, непродовольчих товарів – 23,6% (у січні–вересні 2019р. – 76,9% та 20,9% відповідно).</w:t>
      </w:r>
    </w:p>
    <w:p w:rsidR="00A17F97" w:rsidRPr="002D28E1" w:rsidRDefault="00A17F97" w:rsidP="00A17F97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 w:rsidRPr="002D28E1">
        <w:rPr>
          <w:sz w:val="28"/>
          <w:szCs w:val="28"/>
          <w:lang w:val="uk-UA"/>
        </w:rPr>
        <w:t>У січні–вересні 2020р. обсяг роздрібного продажу товарів, які вироблені на території України, у порівнянних цінах збільшився проти січня–вересня 2019р. на 10,3% (продовольчих товарів – на 5,9%, непродовольчих – на 22,6% відповідно).</w:t>
      </w:r>
    </w:p>
    <w:p w:rsidR="002A7EF6" w:rsidRPr="00A17F97" w:rsidRDefault="00A17F97">
      <w:pPr>
        <w:rPr>
          <w:lang w:val="uk-UA"/>
        </w:rPr>
      </w:pPr>
      <w:bookmarkStart w:id="0" w:name="_GoBack"/>
      <w:bookmarkEnd w:id="0"/>
    </w:p>
    <w:sectPr w:rsidR="002A7EF6" w:rsidRPr="00A17F97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97"/>
    <w:rsid w:val="00222100"/>
    <w:rsid w:val="002B5FF8"/>
    <w:rsid w:val="00914722"/>
    <w:rsid w:val="00A17F97"/>
    <w:rsid w:val="00BA767A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5F374-EB48-406E-AED4-2CFAAD7B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,Основной текст с отступом Знак Знак,Знак Знак1, Знак"/>
    <w:basedOn w:val="a"/>
    <w:link w:val="1"/>
    <w:rsid w:val="00A17F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A17F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A17F97"/>
    <w:pPr>
      <w:spacing w:after="120"/>
    </w:pPr>
  </w:style>
  <w:style w:type="character" w:customStyle="1" w:styleId="a6">
    <w:name w:val="Основной текст Знак"/>
    <w:basedOn w:val="a0"/>
    <w:link w:val="a5"/>
    <w:rsid w:val="00A17F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17F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17F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с отступом Знак1"/>
    <w:aliases w:val="Знак Знак2,Основной текст с отступом Знак Знак2,Основной текст с отступом Знак Знак Знак1,Знак Знак1 Знак, Знак Знак4"/>
    <w:link w:val="a3"/>
    <w:locked/>
    <w:rsid w:val="00A17F9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1"/>
      <c:hPercent val="418"/>
      <c:rotY val="19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202020202020202"/>
          <c:y val="0.23165137614678899"/>
          <c:w val="0.6262626262626263"/>
          <c:h val="0.58027522935779818"/>
        </c:manualLayout>
      </c:layout>
      <c:bar3DChart>
        <c:barDir val="col"/>
        <c:grouping val="stack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Продовольчі товари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C0C0C0" mc:Ignorable="a14" a14:legacySpreadsheetColorIndex="22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83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pattFill prst="wdUpDiag">
                <a:fgClr>
                  <a:srgbClr xmlns:mc="http://schemas.openxmlformats.org/markup-compatibility/2006" xmlns:a14="http://schemas.microsoft.com/office/drawing/2010/main" val="C0C0C0" mc:Ignorable="a14" a14:legacySpreadsheetColorIndex="22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pattFill prst="wdUpDiag">
                <a:fgClr>
                  <a:srgbClr xmlns:mc="http://schemas.openxmlformats.org/markup-compatibility/2006" xmlns:a14="http://schemas.microsoft.com/office/drawing/2010/main" val="C0C0C0" mc:Ignorable="a14" a14:legacySpreadsheetColorIndex="22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pattFill prst="wdUpDiag">
                <a:fgClr>
                  <a:srgbClr xmlns:mc="http://schemas.openxmlformats.org/markup-compatibility/2006" xmlns:a14="http://schemas.microsoft.com/office/drawing/2010/main" val="C0C0C0" mc:Ignorable="a14" a14:legacySpreadsheetColorIndex="22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pattFill prst="wdUpDiag">
                <a:fgClr>
                  <a:srgbClr xmlns:mc="http://schemas.openxmlformats.org/markup-compatibility/2006" xmlns:a14="http://schemas.microsoft.com/office/drawing/2010/main" val="C0C0C0" mc:Ignorable="a14" a14:legacySpreadsheetColorIndex="22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68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Sheet1!$B$1:$G$1</c:f>
              <c:numCache>
                <c:formatCode>General</c:formatCode>
                <c:ptCount val="6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</c:numCache>
            </c:numRef>
          </c:cat>
          <c:val>
            <c:numRef>
              <c:f>Sheet1!$B$2:$G$2</c:f>
              <c:numCache>
                <c:formatCode>0%</c:formatCode>
                <c:ptCount val="6"/>
                <c:pt idx="0">
                  <c:v>0.63</c:v>
                </c:pt>
                <c:pt idx="1">
                  <c:v>0.67</c:v>
                </c:pt>
                <c:pt idx="2">
                  <c:v>0.64</c:v>
                </c:pt>
                <c:pt idx="3">
                  <c:v>0.59</c:v>
                </c:pt>
                <c:pt idx="4">
                  <c:v>0.54</c:v>
                </c:pt>
                <c:pt idx="5">
                  <c:v>0.52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Непродовольчі товари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FFFFCC" mc:Ignorable="a14" a14:legacySpreadsheetColorIndex="26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83">
              <a:solidFill>
                <a:srgbClr val="000000"/>
              </a:solidFill>
              <a:prstDash val="solid"/>
            </a:ln>
          </c:spPr>
          <c:invertIfNegative val="0"/>
          <c:dPt>
            <c:idx val="4"/>
            <c:invertIfNegative val="0"/>
            <c:bubble3D val="0"/>
          </c:dPt>
          <c:cat>
            <c:numRef>
              <c:f>Sheet1!$B$1:$G$1</c:f>
              <c:numCache>
                <c:formatCode>General</c:formatCode>
                <c:ptCount val="6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</c:numCache>
            </c:numRef>
          </c:cat>
          <c:val>
            <c:numRef>
              <c:f>Sheet1!$B$3:$G$3</c:f>
              <c:numCache>
                <c:formatCode>0%</c:formatCode>
                <c:ptCount val="6"/>
                <c:pt idx="0">
                  <c:v>0.37</c:v>
                </c:pt>
                <c:pt idx="1">
                  <c:v>0.33</c:v>
                </c:pt>
                <c:pt idx="2">
                  <c:v>0.36</c:v>
                </c:pt>
                <c:pt idx="3">
                  <c:v>0.41</c:v>
                </c:pt>
                <c:pt idx="4">
                  <c:v>0.46</c:v>
                </c:pt>
                <c:pt idx="5">
                  <c:v>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7920512"/>
        <c:axId val="247619824"/>
        <c:axId val="0"/>
      </c:bar3DChart>
      <c:catAx>
        <c:axId val="317920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2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uk-UA"/>
                  <a:t>    </a:t>
                </a:r>
              </a:p>
            </c:rich>
          </c:tx>
          <c:layout>
            <c:manualLayout>
              <c:xMode val="edge"/>
              <c:yMode val="edge"/>
              <c:x val="0.49494949494949497"/>
              <c:y val="0.82568807339449546"/>
            </c:manualLayout>
          </c:layout>
          <c:overlay val="0"/>
          <c:spPr>
            <a:noFill/>
            <a:ln w="25365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uk-UA"/>
          </a:p>
        </c:txPr>
        <c:crossAx val="24761982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47619824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uk-UA"/>
          </a:p>
        </c:txPr>
        <c:crossAx val="317920512"/>
        <c:crosses val="autoZero"/>
        <c:crossBetween val="between"/>
        <c:majorUnit val="0.2"/>
      </c:valAx>
      <c:spPr>
        <a:noFill/>
        <a:ln w="25365">
          <a:noFill/>
        </a:ln>
      </c:spPr>
    </c:plotArea>
    <c:legend>
      <c:legendPos val="b"/>
      <c:overlay val="0"/>
      <c:spPr>
        <a:noFill/>
        <a:ln w="25365">
          <a:noFill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Times New Roman Cyr"/>
              <a:ea typeface="Times New Roman Cyr"/>
              <a:cs typeface="Times New Roman Cyr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0.22875</cdr:x>
      <cdr:y>0.15775</cdr:y>
    </cdr:from>
    <cdr:to>
      <cdr:x>0.43075</cdr:x>
      <cdr:y>0.199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5706" y="655120"/>
          <a:ext cx="190480" cy="1713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18288" rIns="18288" bIns="18288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uk-UA" sz="250" b="0" i="0" u="none" strike="noStrike" baseline="0">
              <a:solidFill>
                <a:srgbClr val="000000"/>
              </a:solidFill>
              <a:latin typeface="Times New Roman Cyr"/>
              <a:cs typeface="Times New Roman Cyr"/>
            </a:rPr>
            <a:t>37</a:t>
          </a:r>
        </a:p>
      </cdr:txBody>
    </cdr:sp>
  </cdr:relSizeAnchor>
  <cdr:relSizeAnchor xmlns:cdr="http://schemas.openxmlformats.org/drawingml/2006/chartDrawing">
    <cdr:from>
      <cdr:x>0.3235</cdr:x>
      <cdr:y>0.15875</cdr:y>
    </cdr:from>
    <cdr:to>
      <cdr:x>0.374</cdr:x>
      <cdr:y>0.1725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5052" y="659273"/>
          <a:ext cx="47621" cy="571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9144" tIns="18288" rIns="9144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uk-UA" sz="250" b="0" i="0" u="none" strike="noStrike" baseline="0">
              <a:solidFill>
                <a:srgbClr val="000000"/>
              </a:solidFill>
              <a:latin typeface="Times New Roman Cyr"/>
              <a:cs typeface="Times New Roman Cyr"/>
            </a:rPr>
            <a:t>33</a:t>
          </a:r>
        </a:p>
      </cdr:txBody>
    </cdr:sp>
  </cdr:relSizeAnchor>
  <cdr:relSizeAnchor xmlns:cdr="http://schemas.openxmlformats.org/drawingml/2006/chartDrawing">
    <cdr:from>
      <cdr:x>0.419</cdr:x>
      <cdr:y>0.15875</cdr:y>
    </cdr:from>
    <cdr:to>
      <cdr:x>0.4695</cdr:x>
      <cdr:y>0.1725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95107" y="659273"/>
          <a:ext cx="47620" cy="571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9144" tIns="18288" rIns="9144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uk-UA" sz="250" b="0" i="0" u="none" strike="noStrike" baseline="0">
              <a:solidFill>
                <a:srgbClr val="000000"/>
              </a:solidFill>
              <a:latin typeface="Times New Roman Cyr"/>
              <a:cs typeface="Times New Roman Cyr"/>
            </a:rPr>
            <a:t>36</a:t>
          </a:r>
        </a:p>
      </cdr:txBody>
    </cdr:sp>
  </cdr:relSizeAnchor>
  <cdr:relSizeAnchor xmlns:cdr="http://schemas.openxmlformats.org/drawingml/2006/chartDrawing">
    <cdr:from>
      <cdr:x>0.51925</cdr:x>
      <cdr:y>0.15575</cdr:y>
    </cdr:from>
    <cdr:to>
      <cdr:x>0.56975</cdr:x>
      <cdr:y>0.1695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9640" y="646814"/>
          <a:ext cx="47620" cy="571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9144" tIns="18288" rIns="9144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uk-UA" sz="250" b="0" i="0" u="none" strike="noStrike" baseline="0">
              <a:solidFill>
                <a:srgbClr val="000000"/>
              </a:solidFill>
              <a:latin typeface="Times New Roman Cyr"/>
              <a:cs typeface="Times New Roman Cyr"/>
            </a:rPr>
            <a:t>41</a:t>
          </a:r>
        </a:p>
      </cdr:txBody>
    </cdr:sp>
  </cdr:relSizeAnchor>
  <cdr:relSizeAnchor xmlns:cdr="http://schemas.openxmlformats.org/drawingml/2006/chartDrawing">
    <cdr:from>
      <cdr:x>0.60775</cdr:x>
      <cdr:y>0.15275</cdr:y>
    </cdr:from>
    <cdr:to>
      <cdr:x>0.86025</cdr:x>
      <cdr:y>0.20775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73093" y="634355"/>
          <a:ext cx="238101" cy="2284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18288" rIns="18288" bIns="18288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uk-UA" sz="250" b="0" i="0" u="none" strike="noStrike" baseline="0">
              <a:solidFill>
                <a:srgbClr val="000000"/>
              </a:solidFill>
              <a:latin typeface="Times New Roman Cyr"/>
              <a:cs typeface="Times New Roman Cyr"/>
            </a:rPr>
            <a:t>46</a:t>
          </a:r>
        </a:p>
      </cdr:txBody>
    </cdr:sp>
  </cdr:relSizeAnchor>
  <cdr:relSizeAnchor xmlns:cdr="http://schemas.openxmlformats.org/drawingml/2006/chartDrawing">
    <cdr:from>
      <cdr:x>0.2425</cdr:x>
      <cdr:y>0.3935</cdr:y>
    </cdr:from>
    <cdr:to>
      <cdr:x>0.293</cdr:x>
      <cdr:y>0.40725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8671" y="1634166"/>
          <a:ext cx="47621" cy="57103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65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9144" tIns="18288" rIns="9144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uk-UA" sz="250" b="0" i="0" u="none" strike="noStrike" baseline="0">
              <a:solidFill>
                <a:srgbClr val="000000"/>
              </a:solidFill>
              <a:latin typeface="Times New Roman Cyr"/>
              <a:cs typeface="Times New Roman Cyr"/>
            </a:rPr>
            <a:t>63</a:t>
          </a:r>
        </a:p>
      </cdr:txBody>
    </cdr:sp>
  </cdr:relSizeAnchor>
  <cdr:relSizeAnchor xmlns:cdr="http://schemas.openxmlformats.org/drawingml/2006/chartDrawing">
    <cdr:from>
      <cdr:x>0.327</cdr:x>
      <cdr:y>0.39675</cdr:y>
    </cdr:from>
    <cdr:to>
      <cdr:x>0.529</cdr:x>
      <cdr:y>0.44025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353" y="1647663"/>
          <a:ext cx="190481" cy="180651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65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18288" rIns="18288" bIns="18288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uk-UA" sz="250" b="0" i="0" u="none" strike="noStrike" baseline="0">
              <a:solidFill>
                <a:srgbClr val="000000"/>
              </a:solidFill>
              <a:latin typeface="Times New Roman Cyr"/>
              <a:cs typeface="Times New Roman Cyr"/>
            </a:rPr>
            <a:t>67</a:t>
          </a:r>
        </a:p>
      </cdr:txBody>
    </cdr:sp>
  </cdr:relSizeAnchor>
  <cdr:relSizeAnchor xmlns:cdr="http://schemas.openxmlformats.org/drawingml/2006/chartDrawing">
    <cdr:from>
      <cdr:x>0.4375</cdr:x>
      <cdr:y>0.3935</cdr:y>
    </cdr:from>
    <cdr:to>
      <cdr:x>0.488</cdr:x>
      <cdr:y>0.40725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12552" y="1634166"/>
          <a:ext cx="47620" cy="57103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65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9144" tIns="18288" rIns="9144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uk-UA" sz="250" b="0" i="0" u="none" strike="noStrike" baseline="0">
              <a:solidFill>
                <a:srgbClr val="000000"/>
              </a:solidFill>
              <a:latin typeface="Times New Roman Cyr"/>
              <a:cs typeface="Times New Roman Cyr"/>
            </a:rPr>
            <a:t>64</a:t>
          </a:r>
        </a:p>
      </cdr:txBody>
    </cdr:sp>
  </cdr:relSizeAnchor>
  <cdr:relSizeAnchor xmlns:cdr="http://schemas.openxmlformats.org/drawingml/2006/chartDrawing">
    <cdr:from>
      <cdr:x>0.5165</cdr:x>
      <cdr:y>0.39675</cdr:y>
    </cdr:from>
    <cdr:to>
      <cdr:x>0.7285</cdr:x>
      <cdr:y>0.44025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7047" y="1647663"/>
          <a:ext cx="199910" cy="180651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65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18288" rIns="18288" bIns="18288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uk-UA" sz="250" b="0" i="0" u="none" strike="noStrike" baseline="0">
              <a:solidFill>
                <a:srgbClr val="000000"/>
              </a:solidFill>
              <a:latin typeface="Times New Roman Cyr"/>
              <a:cs typeface="Times New Roman Cyr"/>
            </a:rPr>
            <a:t>59</a:t>
          </a:r>
        </a:p>
      </cdr:txBody>
    </cdr:sp>
  </cdr:relSizeAnchor>
  <cdr:relSizeAnchor xmlns:cdr="http://schemas.openxmlformats.org/drawingml/2006/chartDrawing">
    <cdr:from>
      <cdr:x>0.6195</cdr:x>
      <cdr:y>0.39875</cdr:y>
    </cdr:from>
    <cdr:to>
      <cdr:x>0.67</cdr:x>
      <cdr:y>0.4125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4173" y="1655969"/>
          <a:ext cx="47620" cy="57102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65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9144" tIns="18288" rIns="9144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uk-UA" sz="250" b="0" i="0" u="none" strike="noStrike" baseline="0">
              <a:solidFill>
                <a:srgbClr val="000000"/>
              </a:solidFill>
              <a:latin typeface="Times New Roman Cyr"/>
              <a:cs typeface="Times New Roman Cyr"/>
            </a:rPr>
            <a:t>54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0.0895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331" y="0"/>
          <a:ext cx="2762210" cy="3716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uk-UA" sz="900" b="1" i="0" u="none" strike="noStrike" baseline="0">
              <a:solidFill>
                <a:srgbClr val="000000"/>
              </a:solidFill>
              <a:latin typeface="Times New Roman Cyr"/>
              <a:cs typeface="Times New Roman Cyr"/>
            </a:rPr>
            <a:t>Товарна структура роздрібного товарообороту,</a:t>
          </a:r>
        </a:p>
        <a:p xmlns:a="http://schemas.openxmlformats.org/drawingml/2006/main">
          <a:pPr algn="ctr" rtl="0">
            <a:defRPr sz="1000"/>
          </a:pPr>
          <a:r>
            <a:rPr lang="uk-UA" sz="900" b="1" i="0" u="none" strike="noStrike" baseline="0">
              <a:solidFill>
                <a:srgbClr val="000000"/>
              </a:solidFill>
              <a:latin typeface="Times New Roman Cyr"/>
              <a:cs typeface="Times New Roman Cyr"/>
            </a:rPr>
            <a:t>включаючи громадське харчування</a:t>
          </a:r>
          <a:endParaRPr lang="uk-UA" sz="250" b="1" i="0" u="none" strike="noStrike" baseline="0">
            <a:solidFill>
              <a:srgbClr val="000000"/>
            </a:solidFill>
            <a:latin typeface="Arial Cyr"/>
            <a:cs typeface="Arial Cyr"/>
          </a:endParaRPr>
        </a:p>
        <a:p xmlns:a="http://schemas.openxmlformats.org/drawingml/2006/main">
          <a:pPr algn="ctr" rtl="0">
            <a:defRPr sz="1000"/>
          </a:pPr>
          <a:endParaRPr lang="uk-UA" sz="250" b="1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0.145</cdr:x>
      <cdr:y>0.61175</cdr:y>
    </cdr:from>
    <cdr:to>
      <cdr:x>0.17525</cdr:x>
      <cdr:y>0.6255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6731" y="2540537"/>
          <a:ext cx="28525" cy="571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9144" tIns="18288" rIns="9144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uk-UA" sz="225" b="0" i="0" u="none" strike="noStrike" baseline="0">
              <a:solidFill>
                <a:srgbClr val="000000"/>
              </a:solidFill>
              <a:latin typeface="Times New Roman Cyr"/>
              <a:cs typeface="Times New Roman Cyr"/>
            </a:rPr>
            <a:t>0</a:t>
          </a:r>
        </a:p>
      </cdr:txBody>
    </cdr:sp>
  </cdr:relSizeAnchor>
  <cdr:relSizeAnchor xmlns:cdr="http://schemas.openxmlformats.org/drawingml/2006/chartDrawing">
    <cdr:from>
      <cdr:x>0.1155</cdr:x>
      <cdr:y>0.45875</cdr:y>
    </cdr:from>
    <cdr:to>
      <cdr:x>0.166</cdr:x>
      <cdr:y>0.4725</cdr:y>
    </cdr:to>
    <cdr:sp macro="" textlink="">
      <cdr:nvSpPr>
        <cdr:cNvPr id="1038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8914" y="1905143"/>
          <a:ext cx="47620" cy="571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9144" tIns="18288" rIns="9144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uk-UA" sz="225" b="0" i="0" u="none" strike="noStrike" baseline="0">
              <a:solidFill>
                <a:srgbClr val="000000"/>
              </a:solidFill>
              <a:latin typeface="Times New Roman Cyr"/>
              <a:cs typeface="Times New Roman Cyr"/>
            </a:rPr>
            <a:t>20</a:t>
          </a:r>
        </a:p>
      </cdr:txBody>
    </cdr:sp>
  </cdr:relSizeAnchor>
  <cdr:relSizeAnchor xmlns:cdr="http://schemas.openxmlformats.org/drawingml/2006/chartDrawing">
    <cdr:from>
      <cdr:x>0.1155</cdr:x>
      <cdr:y>0.33625</cdr:y>
    </cdr:from>
    <cdr:to>
      <cdr:x>0.166</cdr:x>
      <cdr:y>0.35</cdr:y>
    </cdr:to>
    <cdr:sp macro="" textlink="">
      <cdr:nvSpPr>
        <cdr:cNvPr id="1039" name="Text 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8914" y="1396413"/>
          <a:ext cx="47620" cy="571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9144" tIns="18288" rIns="9144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uk-UA" sz="225" b="0" i="0" u="none" strike="noStrike" baseline="0">
              <a:solidFill>
                <a:srgbClr val="000000"/>
              </a:solidFill>
              <a:latin typeface="Times New Roman Cyr"/>
              <a:cs typeface="Times New Roman Cyr"/>
            </a:rPr>
            <a:t>40</a:t>
          </a:r>
        </a:p>
      </cdr:txBody>
    </cdr:sp>
  </cdr:relSizeAnchor>
  <cdr:relSizeAnchor xmlns:cdr="http://schemas.openxmlformats.org/drawingml/2006/chartDrawing">
    <cdr:from>
      <cdr:x>0.1155</cdr:x>
      <cdr:y>0.20775</cdr:y>
    </cdr:from>
    <cdr:to>
      <cdr:x>0.166</cdr:x>
      <cdr:y>0.2215</cdr:y>
    </cdr:to>
    <cdr:sp macro="" textlink="">
      <cdr:nvSpPr>
        <cdr:cNvPr id="1040" name="Text Box 1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8914" y="862765"/>
          <a:ext cx="47620" cy="571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9144" tIns="18288" rIns="9144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uk-UA" sz="225" b="0" i="0" u="none" strike="noStrike" baseline="0">
              <a:solidFill>
                <a:srgbClr val="000000"/>
              </a:solidFill>
              <a:latin typeface="Times New Roman Cyr"/>
              <a:cs typeface="Times New Roman Cyr"/>
            </a:rPr>
            <a:t>60</a:t>
          </a:r>
        </a:p>
      </cdr:txBody>
    </cdr:sp>
  </cdr:relSizeAnchor>
  <cdr:relSizeAnchor xmlns:cdr="http://schemas.openxmlformats.org/drawingml/2006/chartDrawing">
    <cdr:from>
      <cdr:x>0.125</cdr:x>
      <cdr:y>0.14725</cdr:y>
    </cdr:from>
    <cdr:to>
      <cdr:x>0.1755</cdr:x>
      <cdr:y>0.161</cdr:y>
    </cdr:to>
    <cdr:sp macro="" textlink="">
      <cdr:nvSpPr>
        <cdr:cNvPr id="1041" name="Text Box 1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7872" y="611515"/>
          <a:ext cx="47620" cy="571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9144" tIns="18288" rIns="9144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uk-UA" sz="225" b="0" i="0" u="none" strike="noStrike" baseline="0">
              <a:solidFill>
                <a:srgbClr val="000000"/>
              </a:solidFill>
              <a:latin typeface="Times New Roman Cyr"/>
              <a:cs typeface="Times New Roman Cyr"/>
            </a:rPr>
            <a:t>80</a:t>
          </a:r>
        </a:p>
      </cdr:txBody>
    </cdr:sp>
  </cdr:relSizeAnchor>
  <cdr:relSizeAnchor xmlns:cdr="http://schemas.openxmlformats.org/drawingml/2006/chartDrawing">
    <cdr:from>
      <cdr:x>0.10075</cdr:x>
      <cdr:y>0.098</cdr:y>
    </cdr:from>
    <cdr:to>
      <cdr:x>0.16125</cdr:x>
      <cdr:y>0.11175</cdr:y>
    </cdr:to>
    <cdr:sp macro="" textlink="">
      <cdr:nvSpPr>
        <cdr:cNvPr id="1042" name="Text Box 1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5005" y="406984"/>
          <a:ext cx="57050" cy="571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9144" tIns="18288" rIns="9144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uk-UA" sz="225" b="0" i="0" u="none" strike="noStrike" baseline="0">
              <a:solidFill>
                <a:srgbClr val="000000"/>
              </a:solidFill>
              <a:latin typeface="Times New Roman Cyr"/>
              <a:cs typeface="Times New Roman Cyr"/>
            </a:rPr>
            <a:t>100</a:t>
          </a:r>
        </a:p>
      </cdr:txBody>
    </cdr:sp>
  </cdr:relSizeAnchor>
  <cdr:relSizeAnchor xmlns:cdr="http://schemas.openxmlformats.org/drawingml/2006/chartDrawing">
    <cdr:from>
      <cdr:x>0.02375</cdr:x>
      <cdr:y>0.1875</cdr:y>
    </cdr:from>
    <cdr:to>
      <cdr:x>0.1045</cdr:x>
      <cdr:y>0.215</cdr:y>
    </cdr:to>
    <cdr:sp macro="" textlink="">
      <cdr:nvSpPr>
        <cdr:cNvPr id="1043" name="Text Box 1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96" y="778669"/>
          <a:ext cx="76145" cy="1142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="vert270" wrap="none" lIns="9144" tIns="18288" rIns="9144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uk-UA" sz="225" b="0" i="0" u="none" strike="noStrike" baseline="0">
              <a:solidFill>
                <a:srgbClr val="000000"/>
              </a:solidFill>
              <a:latin typeface="Times New Roman Cyr"/>
              <a:cs typeface="Times New Roman Cyr"/>
            </a:rPr>
            <a:t>відсотки</a:t>
          </a:r>
        </a:p>
      </cdr:txBody>
    </cdr:sp>
  </cdr:relSizeAnchor>
  <cdr:relSizeAnchor xmlns:cdr="http://schemas.openxmlformats.org/drawingml/2006/chartDrawing">
    <cdr:from>
      <cdr:x>0.6985</cdr:x>
      <cdr:y>0.15875</cdr:y>
    </cdr:from>
    <cdr:to>
      <cdr:x>0.749</cdr:x>
      <cdr:y>0.1725</cdr:y>
    </cdr:to>
    <cdr:sp macro="" textlink="">
      <cdr:nvSpPr>
        <cdr:cNvPr id="1044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58668" y="659273"/>
          <a:ext cx="47620" cy="571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9144" tIns="18288" rIns="9144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uk-UA" sz="25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48</a:t>
          </a:r>
        </a:p>
      </cdr:txBody>
    </cdr:sp>
  </cdr:relSizeAnchor>
  <cdr:relSizeAnchor xmlns:cdr="http://schemas.openxmlformats.org/drawingml/2006/chartDrawing">
    <cdr:from>
      <cdr:x>0.71425</cdr:x>
      <cdr:y>0.3935</cdr:y>
    </cdr:from>
    <cdr:to>
      <cdr:x>0.76475</cdr:x>
      <cdr:y>0.40725</cdr:y>
    </cdr:to>
    <cdr:sp macro="" textlink="">
      <cdr:nvSpPr>
        <cdr:cNvPr id="1045" name="Text Box 2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73520" y="1634166"/>
          <a:ext cx="47620" cy="57103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9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9144" tIns="18288" rIns="9144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uk-UA" sz="25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52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682</Characters>
  <Application>Microsoft Office Word</Application>
  <DocSecurity>0</DocSecurity>
  <Lines>5</Lines>
  <Paragraphs>3</Paragraphs>
  <ScaleCrop>false</ScaleCrop>
  <Company>SPecialiST RePack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2020-12-29T14:26:00Z</dcterms:created>
  <dcterms:modified xsi:type="dcterms:W3CDTF">2020-12-29T14:26:00Z</dcterms:modified>
</cp:coreProperties>
</file>