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62" w:rsidRPr="0005670E" w:rsidRDefault="00837162" w:rsidP="00837162">
      <w:pPr>
        <w:jc w:val="center"/>
        <w:rPr>
          <w:b/>
          <w:sz w:val="28"/>
          <w:szCs w:val="28"/>
          <w:lang w:val="uk-UA"/>
        </w:rPr>
      </w:pPr>
      <w:r w:rsidRPr="0005670E">
        <w:rPr>
          <w:b/>
          <w:sz w:val="28"/>
          <w:szCs w:val="28"/>
          <w:lang w:val="uk-UA"/>
        </w:rPr>
        <w:t>Індекси споживчих цін</w:t>
      </w:r>
    </w:p>
    <w:p w:rsidR="00837162" w:rsidRPr="0005670E" w:rsidRDefault="00837162" w:rsidP="00837162">
      <w:pPr>
        <w:jc w:val="center"/>
        <w:rPr>
          <w:b/>
          <w:sz w:val="28"/>
          <w:szCs w:val="28"/>
          <w:lang w:val="uk-UA"/>
        </w:rPr>
      </w:pPr>
    </w:p>
    <w:p w:rsidR="00837162" w:rsidRPr="0005670E" w:rsidRDefault="00837162" w:rsidP="00837162">
      <w:pPr>
        <w:ind w:firstLine="709"/>
        <w:jc w:val="both"/>
        <w:rPr>
          <w:sz w:val="28"/>
          <w:szCs w:val="28"/>
          <w:lang w:val="uk-UA"/>
        </w:rPr>
      </w:pPr>
      <w:r w:rsidRPr="0005670E">
        <w:rPr>
          <w:sz w:val="28"/>
          <w:szCs w:val="28"/>
          <w:lang w:val="uk-UA"/>
        </w:rPr>
        <w:t>Індекс споживчих цін (ІСЦ) м. Києва у липні 2020р. становив 98,9%.</w:t>
      </w:r>
    </w:p>
    <w:p w:rsidR="00837162" w:rsidRPr="0005670E" w:rsidRDefault="00837162" w:rsidP="00837162">
      <w:pPr>
        <w:ind w:firstLine="709"/>
        <w:jc w:val="both"/>
        <w:rPr>
          <w:sz w:val="28"/>
          <w:szCs w:val="28"/>
          <w:lang w:val="uk-UA"/>
        </w:rPr>
      </w:pPr>
      <w:r w:rsidRPr="0005670E">
        <w:rPr>
          <w:sz w:val="28"/>
          <w:szCs w:val="28"/>
          <w:lang w:val="uk-UA"/>
        </w:rPr>
        <w:t>У цілому по Україні індекс споживчих цін (ІСЦ) склав 99,4%.</w:t>
      </w:r>
    </w:p>
    <w:p w:rsidR="00837162" w:rsidRPr="0005670E" w:rsidRDefault="00837162" w:rsidP="00837162">
      <w:pPr>
        <w:pStyle w:val="a3"/>
        <w:jc w:val="both"/>
        <w:rPr>
          <w:szCs w:val="28"/>
        </w:rPr>
      </w:pPr>
      <w:r w:rsidRPr="0005670E">
        <w:rPr>
          <w:bC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635</wp:posOffset>
            </wp:positionV>
            <wp:extent cx="6049010" cy="3124200"/>
            <wp:effectExtent l="0" t="4445" r="0" b="0"/>
            <wp:wrapNone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162" w:rsidRPr="0005670E" w:rsidRDefault="00837162" w:rsidP="00837162">
      <w:pPr>
        <w:pStyle w:val="a3"/>
        <w:jc w:val="both"/>
        <w:rPr>
          <w:szCs w:val="28"/>
        </w:rPr>
      </w:pPr>
    </w:p>
    <w:p w:rsidR="00837162" w:rsidRPr="0005670E" w:rsidRDefault="00837162" w:rsidP="00837162">
      <w:pPr>
        <w:pStyle w:val="a3"/>
        <w:jc w:val="both"/>
        <w:rPr>
          <w:szCs w:val="28"/>
        </w:rPr>
      </w:pPr>
    </w:p>
    <w:p w:rsidR="00837162" w:rsidRPr="0005670E" w:rsidRDefault="00837162" w:rsidP="00837162">
      <w:pPr>
        <w:pStyle w:val="a3"/>
        <w:jc w:val="both"/>
        <w:rPr>
          <w:szCs w:val="28"/>
        </w:rPr>
      </w:pPr>
    </w:p>
    <w:p w:rsidR="00837162" w:rsidRPr="0005670E" w:rsidRDefault="00837162" w:rsidP="00837162">
      <w:pPr>
        <w:pStyle w:val="a3"/>
        <w:jc w:val="both"/>
        <w:rPr>
          <w:szCs w:val="28"/>
        </w:rPr>
      </w:pPr>
    </w:p>
    <w:p w:rsidR="00837162" w:rsidRPr="0005670E" w:rsidRDefault="00837162" w:rsidP="00837162">
      <w:pPr>
        <w:pStyle w:val="a3"/>
        <w:jc w:val="both"/>
        <w:rPr>
          <w:szCs w:val="28"/>
        </w:rPr>
      </w:pPr>
    </w:p>
    <w:p w:rsidR="00837162" w:rsidRPr="0005670E" w:rsidRDefault="00837162" w:rsidP="00837162">
      <w:pPr>
        <w:pStyle w:val="a3"/>
        <w:jc w:val="both"/>
        <w:rPr>
          <w:szCs w:val="28"/>
        </w:rPr>
      </w:pPr>
    </w:p>
    <w:p w:rsidR="00837162" w:rsidRPr="0005670E" w:rsidRDefault="00837162" w:rsidP="00837162">
      <w:pPr>
        <w:pStyle w:val="a3"/>
        <w:jc w:val="both"/>
        <w:rPr>
          <w:szCs w:val="28"/>
        </w:rPr>
      </w:pPr>
    </w:p>
    <w:p w:rsidR="00837162" w:rsidRPr="0005670E" w:rsidRDefault="00837162" w:rsidP="00837162">
      <w:pPr>
        <w:pStyle w:val="a3"/>
        <w:jc w:val="both"/>
        <w:rPr>
          <w:szCs w:val="28"/>
        </w:rPr>
      </w:pPr>
    </w:p>
    <w:p w:rsidR="00837162" w:rsidRPr="0005670E" w:rsidRDefault="00837162" w:rsidP="00837162">
      <w:pPr>
        <w:pStyle w:val="a3"/>
        <w:jc w:val="both"/>
        <w:rPr>
          <w:szCs w:val="28"/>
        </w:rPr>
      </w:pPr>
    </w:p>
    <w:p w:rsidR="00837162" w:rsidRPr="0005670E" w:rsidRDefault="00837162" w:rsidP="00837162">
      <w:pPr>
        <w:pStyle w:val="a3"/>
        <w:jc w:val="both"/>
        <w:rPr>
          <w:szCs w:val="28"/>
        </w:rPr>
      </w:pPr>
    </w:p>
    <w:p w:rsidR="00837162" w:rsidRPr="0005670E" w:rsidRDefault="00837162" w:rsidP="00837162">
      <w:pPr>
        <w:pStyle w:val="a3"/>
        <w:jc w:val="both"/>
        <w:rPr>
          <w:szCs w:val="28"/>
        </w:rPr>
      </w:pPr>
    </w:p>
    <w:p w:rsidR="00837162" w:rsidRPr="0005670E" w:rsidRDefault="00837162" w:rsidP="00837162">
      <w:pPr>
        <w:pStyle w:val="a3"/>
        <w:jc w:val="both"/>
        <w:rPr>
          <w:szCs w:val="28"/>
        </w:rPr>
      </w:pPr>
    </w:p>
    <w:p w:rsidR="00837162" w:rsidRPr="0005670E" w:rsidRDefault="00837162" w:rsidP="00837162">
      <w:pPr>
        <w:pStyle w:val="a3"/>
        <w:jc w:val="both"/>
        <w:rPr>
          <w:szCs w:val="28"/>
        </w:rPr>
      </w:pPr>
    </w:p>
    <w:p w:rsidR="00837162" w:rsidRPr="0005670E" w:rsidRDefault="00837162" w:rsidP="00837162">
      <w:pPr>
        <w:pStyle w:val="a3"/>
        <w:jc w:val="both"/>
        <w:rPr>
          <w:szCs w:val="28"/>
        </w:rPr>
      </w:pPr>
    </w:p>
    <w:p w:rsidR="00837162" w:rsidRPr="0005670E" w:rsidRDefault="00837162" w:rsidP="00837162">
      <w:pPr>
        <w:pStyle w:val="a5"/>
        <w:ind w:left="0"/>
        <w:rPr>
          <w:szCs w:val="28"/>
          <w:lang w:val="uk-UA"/>
        </w:rPr>
      </w:pPr>
    </w:p>
    <w:p w:rsidR="00837162" w:rsidRPr="0005670E" w:rsidRDefault="00837162" w:rsidP="00837162">
      <w:pPr>
        <w:ind w:firstLine="720"/>
        <w:jc w:val="both"/>
        <w:rPr>
          <w:sz w:val="28"/>
          <w:szCs w:val="28"/>
          <w:lang w:val="uk-UA"/>
        </w:rPr>
      </w:pPr>
      <w:r w:rsidRPr="0005670E">
        <w:rPr>
          <w:sz w:val="28"/>
          <w:szCs w:val="28"/>
          <w:lang w:val="uk-UA"/>
        </w:rPr>
        <w:t xml:space="preserve">На споживчому ринку столиці у липні ціни на продукти харчування та безалкогольні напої знизилися на 2,3%. Найбільше подешевшали: яйця – на 17,6%, овочі – на 15,9%, фрукти – на 4,8%, м'ясо та м’ясопродукти – </w:t>
      </w:r>
      <w:r w:rsidRPr="0005670E">
        <w:rPr>
          <w:sz w:val="28"/>
          <w:szCs w:val="28"/>
          <w:lang w:val="uk-UA"/>
        </w:rPr>
        <w:br/>
        <w:t xml:space="preserve">на 1,5%, макаронні вироби – на 0,7%, масло – на 0,3%. Водночас </w:t>
      </w:r>
      <w:r w:rsidRPr="0005670E">
        <w:rPr>
          <w:spacing w:val="-2"/>
          <w:sz w:val="28"/>
          <w:szCs w:val="28"/>
          <w:lang w:val="uk-UA"/>
        </w:rPr>
        <w:t>подорожчали: риба та продукти з риби – на 2,0%, цукор – на 0,7%, молоко</w:t>
      </w:r>
      <w:r w:rsidRPr="0005670E">
        <w:rPr>
          <w:sz w:val="28"/>
          <w:szCs w:val="28"/>
          <w:lang w:val="uk-UA"/>
        </w:rPr>
        <w:t xml:space="preserve"> – на 0,6%, сир і м’який сир (творог) – на 0,4%, олія соняшникова – на 0,3%, хліб – на 0,1%.</w:t>
      </w:r>
    </w:p>
    <w:p w:rsidR="00837162" w:rsidRPr="0005670E" w:rsidRDefault="00837162" w:rsidP="00837162">
      <w:pPr>
        <w:ind w:firstLine="720"/>
        <w:jc w:val="both"/>
        <w:rPr>
          <w:sz w:val="28"/>
          <w:szCs w:val="28"/>
          <w:lang w:val="uk-UA"/>
        </w:rPr>
      </w:pPr>
      <w:r w:rsidRPr="0005670E">
        <w:rPr>
          <w:sz w:val="28"/>
          <w:szCs w:val="28"/>
          <w:lang w:val="uk-UA"/>
        </w:rPr>
        <w:t>Ціни на алкогольні напої та тютюнові вироби підвищилися на 0,1%, що пов'язано з подорожчанням тютюнових виробів на 0,5%.</w:t>
      </w:r>
    </w:p>
    <w:p w:rsidR="00837162" w:rsidRPr="0005670E" w:rsidRDefault="00837162" w:rsidP="00837162">
      <w:pPr>
        <w:ind w:firstLine="720"/>
        <w:jc w:val="both"/>
        <w:rPr>
          <w:sz w:val="28"/>
          <w:szCs w:val="28"/>
          <w:lang w:val="uk-UA"/>
        </w:rPr>
      </w:pPr>
      <w:r w:rsidRPr="0005670E">
        <w:rPr>
          <w:spacing w:val="-2"/>
          <w:sz w:val="28"/>
          <w:szCs w:val="28"/>
          <w:lang w:val="uk-UA"/>
        </w:rPr>
        <w:t>Одяг і взуття подешевшали на 8,5%, зокрема, одяг – на 9,3%, взуття</w:t>
      </w:r>
      <w:r w:rsidRPr="0005670E">
        <w:rPr>
          <w:sz w:val="28"/>
          <w:szCs w:val="28"/>
          <w:lang w:val="uk-UA"/>
        </w:rPr>
        <w:t xml:space="preserve"> – на 7,9%.</w:t>
      </w:r>
    </w:p>
    <w:p w:rsidR="00837162" w:rsidRPr="0005670E" w:rsidRDefault="00837162" w:rsidP="00837162">
      <w:pPr>
        <w:ind w:firstLine="720"/>
        <w:jc w:val="both"/>
        <w:rPr>
          <w:sz w:val="28"/>
          <w:szCs w:val="28"/>
          <w:lang w:val="uk-UA"/>
        </w:rPr>
      </w:pPr>
      <w:r w:rsidRPr="0005670E">
        <w:rPr>
          <w:sz w:val="28"/>
          <w:szCs w:val="28"/>
          <w:lang w:val="uk-UA"/>
        </w:rPr>
        <w:t xml:space="preserve">Зростання цін (тарифів) на житло, воду, електроенергію, газ та інші види палива на 0,2% відбулося в першу чергу за рахунок підвищення цін на природний газ на 6,1%. </w:t>
      </w:r>
    </w:p>
    <w:p w:rsidR="00837162" w:rsidRPr="0005670E" w:rsidRDefault="00837162" w:rsidP="00837162">
      <w:pPr>
        <w:ind w:firstLine="720"/>
        <w:jc w:val="both"/>
        <w:rPr>
          <w:sz w:val="28"/>
          <w:szCs w:val="28"/>
          <w:lang w:val="uk-UA"/>
        </w:rPr>
      </w:pPr>
      <w:r w:rsidRPr="0005670E">
        <w:rPr>
          <w:sz w:val="28"/>
          <w:szCs w:val="28"/>
          <w:lang w:val="uk-UA"/>
        </w:rPr>
        <w:t>Ціни у сфері охорони здоров'я залишилися без змін, тоді як вартість амбулаторних послуг підвищилася на 0,4%, а фармацевтичної продукції, медичних товарів та обладнання знизилася на 0,1%.</w:t>
      </w:r>
    </w:p>
    <w:p w:rsidR="00837162" w:rsidRPr="0005670E" w:rsidRDefault="00837162" w:rsidP="00837162">
      <w:pPr>
        <w:ind w:firstLine="720"/>
        <w:jc w:val="both"/>
        <w:rPr>
          <w:lang w:val="uk-UA"/>
        </w:rPr>
      </w:pPr>
      <w:r w:rsidRPr="0005670E">
        <w:rPr>
          <w:sz w:val="28"/>
          <w:szCs w:val="28"/>
          <w:lang w:val="uk-UA"/>
        </w:rPr>
        <w:t>Підвищення цін на транспорт на 1,9% спричинено в основному подорожчанням палива та мастил на 5,1%.</w:t>
      </w:r>
    </w:p>
    <w:p w:rsidR="002A7EF6" w:rsidRPr="00837162" w:rsidRDefault="00837162">
      <w:pPr>
        <w:rPr>
          <w:lang w:val="uk-UA"/>
        </w:rPr>
      </w:pPr>
      <w:bookmarkStart w:id="0" w:name="_GoBack"/>
      <w:bookmarkEnd w:id="0"/>
    </w:p>
    <w:sectPr w:rsidR="002A7EF6" w:rsidRPr="00837162" w:rsidSect="00914722">
      <w:pgSz w:w="11906" w:h="16838"/>
      <w:pgMar w:top="1418" w:right="1418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62"/>
    <w:rsid w:val="00837162"/>
    <w:rsid w:val="00914722"/>
    <w:rsid w:val="00BA767A"/>
    <w:rsid w:val="00F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640C3-F02E-4195-9FA4-64899E69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7162"/>
    <w:pPr>
      <w:tabs>
        <w:tab w:val="right" w:pos="6662"/>
        <w:tab w:val="right" w:pos="9356"/>
      </w:tabs>
      <w:jc w:val="center"/>
      <w:outlineLvl w:val="0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837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Знак,Основной текст с отступом Знак Знак,Знак Знак1, Знак"/>
    <w:basedOn w:val="a"/>
    <w:link w:val="1"/>
    <w:rsid w:val="0083716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uiPriority w:val="99"/>
    <w:semiHidden/>
    <w:rsid w:val="008371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с отступом Знак1"/>
    <w:aliases w:val="Знак Знак2,Основной текст с отступом Знак Знак2,Основной текст с отступом Знак Знак Знак1,Знак Знак1 Знак, Знак Знак5"/>
    <w:link w:val="a5"/>
    <w:locked/>
    <w:rsid w:val="008371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 Знак Знак1 Знак Знак Знак Знак Знак Знак"/>
    <w:basedOn w:val="a"/>
    <w:rsid w:val="0083716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uk-UA" sz="10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ІСЦ у 2019 - 2020 роках</a:t>
            </a:r>
            <a:endParaRPr lang="uk-UA" sz="800" b="1" i="0" u="none" strike="noStrike" baseline="0">
              <a:solidFill>
                <a:srgbClr val="000000"/>
              </a:solidFill>
              <a:latin typeface="Arial Cyr"/>
              <a:cs typeface="Arial Cyr"/>
            </a:endParaRP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uk-UA" sz="800" b="1" i="0" u="none" strike="noStrike" baseline="0">
                <a:solidFill>
                  <a:srgbClr val="000000"/>
                </a:solidFill>
                <a:latin typeface="Arial Cyr"/>
                <a:cs typeface="Arial Cyr"/>
              </a:rPr>
              <a:t>(</a:t>
            </a:r>
            <a:r>
              <a:rPr lang="uk-UA" sz="975" b="1" i="0" u="none" strike="noStrike" baseline="0">
                <a:solidFill>
                  <a:srgbClr val="000000"/>
                </a:solidFill>
                <a:latin typeface="Arial Cyr"/>
                <a:cs typeface="Arial Cyr"/>
              </a:rPr>
              <a:t>у %  до попереднього місяця)</a:t>
            </a:r>
          </a:p>
        </c:rich>
      </c:tx>
      <c:layout>
        <c:manualLayout>
          <c:xMode val="edge"/>
          <c:yMode val="edge"/>
          <c:x val="0.3296"/>
          <c:y val="3.1446540880503146E-3"/>
        </c:manualLayout>
      </c:layout>
      <c:overlay val="0"/>
      <c:spPr>
        <a:noFill/>
        <a:ln w="2540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2399999999999997E-2"/>
          <c:y val="0.1540880503144654"/>
          <c:w val="0.89280000000000004"/>
          <c:h val="0.5817610062893081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м.Київ</c:v>
                </c:pt>
              </c:strCache>
            </c:strRef>
          </c:tx>
          <c:spPr>
            <a:ln w="25401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CC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5023790669878216E-2"/>
                  <c:y val="2.2799521205730588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5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50064853587614E-2"/>
                  <c:y val="3.4984950109492208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5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6377506401874019E-2"/>
                  <c:y val="-4.3631257148999958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5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65452958417987E-2"/>
                  <c:y val="2.7123387360749263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5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8131387450177745E-2"/>
                  <c:y val="2.7516574809188898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5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4408410632483686E-2"/>
                  <c:y val="2.9875029139535214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5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1085268498481597E-2"/>
                  <c:y val="4.3043091484250118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5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5.3762126364479523E-2"/>
                  <c:y val="-6.0926927104659523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5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2439149546785404E-2"/>
                  <c:y val="-4.3041491074545302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5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2316007412783296E-2"/>
                  <c:y val="2.4961366713652289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5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5393030595089146E-2"/>
                  <c:y val="-4.4221023223454614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5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4.6869888461087084E-2"/>
                  <c:y val="-9.8662776161263344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5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8746746327084969E-2"/>
                  <c:y val="2.4961541852827507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5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Sheet1!$B$1:$N$1</c:f>
              <c:strCache>
                <c:ptCount val="13"/>
                <c:pt idx="0">
                  <c:v>2019 Липень</c:v>
                </c:pt>
                <c:pt idx="1">
                  <c:v>Серпень</c:v>
                </c:pt>
                <c:pt idx="2">
                  <c:v>Вересень</c:v>
                </c:pt>
                <c:pt idx="3">
                  <c:v>Жовтень</c:v>
                </c:pt>
                <c:pt idx="4">
                  <c:v>Листопад</c:v>
                </c:pt>
                <c:pt idx="5">
                  <c:v>Грудень</c:v>
                </c:pt>
                <c:pt idx="6">
                  <c:v>2020 Січень</c:v>
                </c:pt>
                <c:pt idx="7">
                  <c:v>Лютий</c:v>
                </c:pt>
                <c:pt idx="8">
                  <c:v>Березень</c:v>
                </c:pt>
                <c:pt idx="9">
                  <c:v>Квітень</c:v>
                </c:pt>
                <c:pt idx="10">
                  <c:v>Травень</c:v>
                </c:pt>
                <c:pt idx="11">
                  <c:v>Червень</c:v>
                </c:pt>
                <c:pt idx="12">
                  <c:v>Липень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 formatCode="0.0">
                  <c:v>99</c:v>
                </c:pt>
                <c:pt idx="1">
                  <c:v>99.6</c:v>
                </c:pt>
                <c:pt idx="2">
                  <c:v>101.2</c:v>
                </c:pt>
                <c:pt idx="3">
                  <c:v>100.4</c:v>
                </c:pt>
                <c:pt idx="4">
                  <c:v>99.8</c:v>
                </c:pt>
                <c:pt idx="5">
                  <c:v>99.4</c:v>
                </c:pt>
                <c:pt idx="6">
                  <c:v>100.1</c:v>
                </c:pt>
                <c:pt idx="7">
                  <c:v>100.4</c:v>
                </c:pt>
                <c:pt idx="8">
                  <c:v>101.9</c:v>
                </c:pt>
                <c:pt idx="9">
                  <c:v>100.5</c:v>
                </c:pt>
                <c:pt idx="10">
                  <c:v>100.5</c:v>
                </c:pt>
                <c:pt idx="11">
                  <c:v>100.4</c:v>
                </c:pt>
                <c:pt idx="12">
                  <c:v>98.9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Україна</c:v>
                </c:pt>
              </c:strCache>
            </c:strRef>
          </c:tx>
          <c:spPr>
            <a:ln w="25401">
              <a:solidFill>
                <a:srgbClr val="FF00FF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FF00FF"/>
              </a:solidFill>
              <a:ln>
                <a:solidFill>
                  <a:srgbClr val="8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5023790669878216E-2"/>
                  <c:y val="-5.5030631237823258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5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3300648535876146E-2"/>
                  <c:y val="-5.2082730914963293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5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837750640187404E-2"/>
                  <c:y val="3.0071607765550235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5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65452958417987E-2"/>
                  <c:y val="-4.2255436259606982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5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8131387450177745E-2"/>
                  <c:y val="-3.871791480505804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5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120841063248365E-2"/>
                  <c:y val="-5.7389085568169573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5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5885268498481513E-2"/>
                  <c:y val="-5.6602885810465575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5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4562126364479417E-2"/>
                  <c:y val="2.3388967198244237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5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7639149546785378E-2"/>
                  <c:y val="4.0488203470654516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5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3916007412783231E-2"/>
                  <c:y val="-4.756211099475427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5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37930305950891E-2"/>
                  <c:y val="2.6140753919795923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5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4.3669888461087103E-2"/>
                  <c:y val="2.8302774566892897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5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5546746327084988E-2"/>
                  <c:y val="-5.5030631237823258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5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Sheet1!$B$1:$N$1</c:f>
              <c:strCache>
                <c:ptCount val="13"/>
                <c:pt idx="0">
                  <c:v>2019 Липень</c:v>
                </c:pt>
                <c:pt idx="1">
                  <c:v>Серпень</c:v>
                </c:pt>
                <c:pt idx="2">
                  <c:v>Вересень</c:v>
                </c:pt>
                <c:pt idx="3">
                  <c:v>Жовтень</c:v>
                </c:pt>
                <c:pt idx="4">
                  <c:v>Листопад</c:v>
                </c:pt>
                <c:pt idx="5">
                  <c:v>Грудень</c:v>
                </c:pt>
                <c:pt idx="6">
                  <c:v>2020 Січень</c:v>
                </c:pt>
                <c:pt idx="7">
                  <c:v>Лютий</c:v>
                </c:pt>
                <c:pt idx="8">
                  <c:v>Березень</c:v>
                </c:pt>
                <c:pt idx="9">
                  <c:v>Квітень</c:v>
                </c:pt>
                <c:pt idx="10">
                  <c:v>Травень</c:v>
                </c:pt>
                <c:pt idx="11">
                  <c:v>Червень</c:v>
                </c:pt>
                <c:pt idx="12">
                  <c:v>Липень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  <c:pt idx="0">
                  <c:v>99.4</c:v>
                </c:pt>
                <c:pt idx="1">
                  <c:v>99.7</c:v>
                </c:pt>
                <c:pt idx="2">
                  <c:v>100.7</c:v>
                </c:pt>
                <c:pt idx="3">
                  <c:v>100.7</c:v>
                </c:pt>
                <c:pt idx="4">
                  <c:v>100.1</c:v>
                </c:pt>
                <c:pt idx="5">
                  <c:v>99.8</c:v>
                </c:pt>
                <c:pt idx="6">
                  <c:v>100.2</c:v>
                </c:pt>
                <c:pt idx="7">
                  <c:v>99.7</c:v>
                </c:pt>
                <c:pt idx="8">
                  <c:v>100.8</c:v>
                </c:pt>
                <c:pt idx="9">
                  <c:v>100.8</c:v>
                </c:pt>
                <c:pt idx="10">
                  <c:v>100.3</c:v>
                </c:pt>
                <c:pt idx="11">
                  <c:v>100.2</c:v>
                </c:pt>
                <c:pt idx="12">
                  <c:v>99.4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53215944"/>
        <c:axId val="253216336"/>
      </c:lineChart>
      <c:catAx>
        <c:axId val="253215944"/>
        <c:scaling>
          <c:orientation val="minMax"/>
        </c:scaling>
        <c:delete val="0"/>
        <c:axPos val="b"/>
        <c:numFmt formatCode="General" sourceLinked="1"/>
        <c:majorTickMark val="out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253216336"/>
        <c:crossesAt val="95"/>
        <c:auto val="1"/>
        <c:lblAlgn val="ctr"/>
        <c:lblOffset val="100"/>
        <c:tickLblSkip val="1"/>
        <c:tickMarkSkip val="1"/>
        <c:noMultiLvlLbl val="0"/>
      </c:catAx>
      <c:valAx>
        <c:axId val="253216336"/>
        <c:scaling>
          <c:orientation val="minMax"/>
          <c:max val="105"/>
          <c:min val="97"/>
        </c:scaling>
        <c:delete val="0"/>
        <c:axPos val="l"/>
        <c:numFmt formatCode="0.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253215944"/>
        <c:crosses val="autoZero"/>
        <c:crossBetween val="between"/>
        <c:majorUnit val="2"/>
        <c:minorUnit val="0.4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39040000000000002"/>
          <c:y val="0.91823899371069184"/>
          <c:w val="0.2336"/>
          <c:h val="6.9182389937106917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uk-UA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0.47325</cdr:x>
      <cdr:y>0.54825</cdr:y>
    </cdr:from>
    <cdr:to>
      <cdr:x>0.48275</cdr:x>
      <cdr:y>0.608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17316" y="1660622"/>
          <a:ext cx="56555" cy="18098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uk-UA"/>
        </a:p>
      </cdr:txBody>
    </cdr:sp>
  </cdr:relSizeAnchor>
  <cdr:relSizeAnchor xmlns:cdr="http://schemas.openxmlformats.org/drawingml/2006/chartDrawing">
    <cdr:from>
      <cdr:x>0.68125</cdr:x>
      <cdr:y>0.55125</cdr:y>
    </cdr:from>
    <cdr:to>
      <cdr:x>0.68775</cdr:x>
      <cdr:y>0.5765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055566" y="1669709"/>
          <a:ext cx="38696" cy="764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uk-UA" sz="800" b="0" i="0" u="none" strike="noStrike" baseline="0">
              <a:solidFill>
                <a:srgbClr val="000000"/>
              </a:solidFill>
              <a:latin typeface="Arial"/>
              <a:cs typeface="Arial"/>
            </a:rPr>
            <a:t>99,7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455</Characters>
  <Application>Microsoft Office Word</Application>
  <DocSecurity>0</DocSecurity>
  <Lines>3</Lines>
  <Paragraphs>2</Paragraphs>
  <ScaleCrop>false</ScaleCrop>
  <Company>SPecialiST RePack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2020-09-01T08:56:00Z</dcterms:created>
  <dcterms:modified xsi:type="dcterms:W3CDTF">2020-09-01T08:57:00Z</dcterms:modified>
</cp:coreProperties>
</file>