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D" w:rsidRPr="004E5675" w:rsidRDefault="00B410BD" w:rsidP="00B410BD">
      <w:pPr>
        <w:jc w:val="center"/>
        <w:rPr>
          <w:b/>
          <w:color w:val="000000"/>
          <w:sz w:val="28"/>
          <w:szCs w:val="28"/>
          <w:lang w:val="uk-UA"/>
        </w:rPr>
      </w:pPr>
      <w:r w:rsidRPr="004E5675">
        <w:rPr>
          <w:b/>
          <w:color w:val="000000"/>
          <w:sz w:val="28"/>
          <w:szCs w:val="28"/>
          <w:lang w:val="uk-UA"/>
        </w:rPr>
        <w:t>Житлове будівництво</w:t>
      </w:r>
    </w:p>
    <w:p w:rsidR="00B410BD" w:rsidRPr="004E5675" w:rsidRDefault="00B410BD" w:rsidP="00B410BD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B410BD" w:rsidRPr="004E5675" w:rsidRDefault="00B410BD" w:rsidP="00B410BD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4E5675">
        <w:rPr>
          <w:rFonts w:eastAsia="Calibri"/>
          <w:sz w:val="28"/>
          <w:szCs w:val="28"/>
          <w:lang w:val="uk-UA" w:eastAsia="en-US"/>
        </w:rPr>
        <w:t xml:space="preserve">У 2019р. в </w:t>
      </w:r>
      <w:proofErr w:type="spellStart"/>
      <w:r w:rsidRPr="004E5675">
        <w:rPr>
          <w:rFonts w:eastAsia="Calibri"/>
          <w:sz w:val="28"/>
          <w:szCs w:val="28"/>
          <w:lang w:val="uk-UA" w:eastAsia="en-US"/>
        </w:rPr>
        <w:t>м.Києві</w:t>
      </w:r>
      <w:proofErr w:type="spellEnd"/>
      <w:r w:rsidRPr="004E5675">
        <w:rPr>
          <w:rFonts w:eastAsia="Calibri"/>
          <w:sz w:val="28"/>
          <w:szCs w:val="28"/>
          <w:lang w:val="uk-UA" w:eastAsia="en-US"/>
        </w:rPr>
        <w:t xml:space="preserve"> прийнято в </w:t>
      </w:r>
      <w:bookmarkStart w:id="0" w:name="OLE_LINK6"/>
      <w:bookmarkStart w:id="1" w:name="OLE_LINK7"/>
      <w:r w:rsidRPr="004E5675">
        <w:rPr>
          <w:rFonts w:eastAsia="Calibri"/>
          <w:sz w:val="28"/>
          <w:szCs w:val="28"/>
          <w:lang w:val="uk-UA" w:eastAsia="en-US"/>
        </w:rPr>
        <w:t>експлуатацію</w:t>
      </w:r>
      <w:bookmarkEnd w:id="0"/>
      <w:bookmarkEnd w:id="1"/>
      <w:r w:rsidRPr="004E5675">
        <w:rPr>
          <w:rFonts w:eastAsia="Calibri"/>
          <w:sz w:val="28"/>
          <w:szCs w:val="28"/>
          <w:lang w:val="uk-UA" w:eastAsia="en-US"/>
        </w:rPr>
        <w:t xml:space="preserve"> 1114,0 тис.м</w:t>
      </w:r>
      <w:r w:rsidRPr="004E5675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4E5675">
        <w:rPr>
          <w:rFonts w:eastAsia="Calibri"/>
          <w:sz w:val="28"/>
          <w:szCs w:val="28"/>
          <w:lang w:val="uk-UA" w:eastAsia="en-US"/>
        </w:rPr>
        <w:t xml:space="preserve"> загальної площі житлових будівель, з яких 21,7 тис.м</w:t>
      </w:r>
      <w:r w:rsidRPr="004E5675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4E5675">
        <w:rPr>
          <w:rFonts w:eastAsia="Calibri"/>
          <w:sz w:val="28"/>
          <w:szCs w:val="28"/>
          <w:lang w:val="uk-UA" w:eastAsia="en-US"/>
        </w:rPr>
        <w:t xml:space="preserve"> (або 2,0% загального обсягу житла) відповідно до Порядку прийняття в експлуатацію об’єктів, збудованих без дозвільного документа на виконання будівельних робіт, затвердженого наказом </w:t>
      </w:r>
      <w:proofErr w:type="spellStart"/>
      <w:r w:rsidRPr="004E5675">
        <w:rPr>
          <w:rFonts w:eastAsia="Calibri"/>
          <w:sz w:val="28"/>
          <w:szCs w:val="28"/>
          <w:lang w:val="uk-UA" w:eastAsia="en-US"/>
        </w:rPr>
        <w:t>Мінрегіону</w:t>
      </w:r>
      <w:proofErr w:type="spellEnd"/>
      <w:r w:rsidRPr="004E5675">
        <w:rPr>
          <w:rFonts w:eastAsia="Calibri"/>
          <w:sz w:val="28"/>
          <w:szCs w:val="28"/>
          <w:lang w:val="uk-UA" w:eastAsia="en-US"/>
        </w:rPr>
        <w:t xml:space="preserve"> від 03.07.2018 №158 (далі – Порядок).</w:t>
      </w:r>
    </w:p>
    <w:p w:rsidR="00B410BD" w:rsidRPr="004E5675" w:rsidRDefault="00B410BD" w:rsidP="00B410BD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4E5675">
        <w:rPr>
          <w:rFonts w:eastAsia="Calibri"/>
          <w:sz w:val="28"/>
          <w:szCs w:val="28"/>
          <w:lang w:val="uk-UA" w:eastAsia="en-US"/>
        </w:rPr>
        <w:t>Загальна площа прийнятого в експлуатацію житла у 2019р. порівняно із 2018р. зменшилась на 11,3%, при цьому без урахування площі, прийнятої в експлуатацію відповідно до Порядку, – на 13,0%.</w:t>
      </w:r>
    </w:p>
    <w:p w:rsidR="00B410BD" w:rsidRPr="004E5675" w:rsidRDefault="00B410BD" w:rsidP="00B410BD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B410BD" w:rsidRPr="004E5675" w:rsidRDefault="00B410BD" w:rsidP="00B410BD">
      <w:pPr>
        <w:jc w:val="center"/>
        <w:rPr>
          <w:noProof/>
          <w:sz w:val="28"/>
          <w:szCs w:val="28"/>
          <w:lang w:val="uk-UA"/>
        </w:rPr>
      </w:pPr>
      <w:r w:rsidRPr="004E5675">
        <w:rPr>
          <w:b/>
          <w:snapToGrid w:val="0"/>
          <w:sz w:val="28"/>
          <w:szCs w:val="28"/>
          <w:lang w:val="uk-UA"/>
        </w:rPr>
        <w:t>Загальна площа житлових будівель, прийнятих в експлуатацію,</w:t>
      </w:r>
      <w:r w:rsidRPr="004E5675">
        <w:rPr>
          <w:b/>
          <w:snapToGrid w:val="0"/>
          <w:sz w:val="28"/>
          <w:szCs w:val="28"/>
          <w:lang w:val="uk-UA"/>
        </w:rPr>
        <w:br/>
      </w:r>
    </w:p>
    <w:tbl>
      <w:tblPr>
        <w:tblW w:w="9281" w:type="dxa"/>
        <w:tblInd w:w="10" w:type="dxa"/>
        <w:tblLook w:val="01E0"/>
      </w:tblPr>
      <w:tblGrid>
        <w:gridCol w:w="2366"/>
        <w:gridCol w:w="2268"/>
        <w:gridCol w:w="2323"/>
        <w:gridCol w:w="2324"/>
      </w:tblGrid>
      <w:tr w:rsidR="00B410BD" w:rsidRPr="00210DA9" w:rsidTr="007C0C05">
        <w:tc>
          <w:tcPr>
            <w:tcW w:w="23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  <w:r w:rsidRPr="00210DA9">
              <w:rPr>
                <w:rFonts w:eastAsia="Calibri"/>
                <w:lang w:val="uk-UA" w:eastAsia="en-US"/>
              </w:rPr>
              <w:t>Прийняття в експлуатацію загальної площі житла у 2019р.</w:t>
            </w:r>
          </w:p>
        </w:tc>
      </w:tr>
      <w:tr w:rsidR="00B410BD" w:rsidRPr="00210DA9" w:rsidTr="007C0C05">
        <w:tc>
          <w:tcPr>
            <w:tcW w:w="2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  <w:r w:rsidRPr="00210DA9">
              <w:rPr>
                <w:rFonts w:eastAsia="Calibri"/>
                <w:lang w:val="uk-UA" w:eastAsia="en-US"/>
              </w:rPr>
              <w:t>м</w:t>
            </w:r>
            <w:r w:rsidRPr="00210DA9">
              <w:rPr>
                <w:rFonts w:eastAsia="Calibri"/>
                <w:vertAlign w:val="superscript"/>
                <w:lang w:val="uk-UA" w:eastAsia="en-US"/>
              </w:rPr>
              <w:t>2</w:t>
            </w:r>
            <w:r w:rsidRPr="00210DA9">
              <w:rPr>
                <w:rFonts w:eastAsia="Calibri"/>
                <w:vertAlign w:val="superscript"/>
                <w:lang w:val="uk-UA" w:eastAsia="en-US"/>
              </w:rPr>
              <w:br/>
            </w:r>
            <w:r w:rsidRPr="00210DA9">
              <w:rPr>
                <w:rFonts w:eastAsia="Calibri"/>
                <w:lang w:val="uk-UA" w:eastAsia="en-US"/>
              </w:rPr>
              <w:t>загальної площі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  <w:r w:rsidRPr="00210DA9">
              <w:rPr>
                <w:rFonts w:eastAsia="Calibri"/>
                <w:lang w:val="uk-UA" w:eastAsia="en-US"/>
              </w:rPr>
              <w:t>у % до</w:t>
            </w:r>
          </w:p>
        </w:tc>
      </w:tr>
      <w:tr w:rsidR="00B410BD" w:rsidRPr="00210DA9" w:rsidTr="007C0C05">
        <w:tc>
          <w:tcPr>
            <w:tcW w:w="23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  <w:r w:rsidRPr="00210DA9">
              <w:rPr>
                <w:rFonts w:eastAsia="Calibri"/>
                <w:lang w:val="uk-UA" w:eastAsia="en-US"/>
              </w:rPr>
              <w:t>загального обсягу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0BD" w:rsidRPr="00210DA9" w:rsidRDefault="00B410BD" w:rsidP="007C0C05">
            <w:pPr>
              <w:jc w:val="center"/>
              <w:rPr>
                <w:rFonts w:eastAsia="Calibri"/>
                <w:lang w:val="uk-UA" w:eastAsia="en-US"/>
              </w:rPr>
            </w:pPr>
            <w:r w:rsidRPr="00210DA9">
              <w:rPr>
                <w:rFonts w:eastAsia="Calibri"/>
                <w:lang w:val="uk-UA" w:eastAsia="en-US"/>
              </w:rPr>
              <w:t>2018р.</w:t>
            </w:r>
          </w:p>
        </w:tc>
      </w:tr>
      <w:tr w:rsidR="00B410BD" w:rsidRPr="00210DA9" w:rsidTr="007C0C05"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B410BD" w:rsidRPr="00210DA9" w:rsidRDefault="00B410BD" w:rsidP="007C0C05">
            <w:pPr>
              <w:rPr>
                <w:noProof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10BD" w:rsidRPr="00210DA9" w:rsidRDefault="00B410BD" w:rsidP="007C0C0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bottom"/>
          </w:tcPr>
          <w:p w:rsidR="00B410BD" w:rsidRPr="00210DA9" w:rsidRDefault="00B410BD" w:rsidP="007C0C05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rPr>
                <w:b/>
                <w:noProof/>
                <w:lang w:val="uk-UA" w:eastAsia="uk-UA"/>
              </w:rPr>
            </w:pPr>
            <w:r w:rsidRPr="00210DA9">
              <w:rPr>
                <w:b/>
                <w:noProof/>
                <w:lang w:val="uk-UA" w:eastAsia="uk-UA"/>
              </w:rPr>
              <w:t>м.Київ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b/>
                <w:lang w:val="uk-UA"/>
              </w:rPr>
            </w:pPr>
            <w:r w:rsidRPr="00210DA9">
              <w:rPr>
                <w:b/>
                <w:lang w:val="uk-UA"/>
              </w:rPr>
              <w:t>1113986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b/>
                <w:lang w:val="uk-UA"/>
              </w:rPr>
            </w:pPr>
            <w:r w:rsidRPr="00210DA9">
              <w:rPr>
                <w:b/>
                <w:lang w:val="uk-UA"/>
              </w:rPr>
              <w:t>100,0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jc w:val="right"/>
              <w:rPr>
                <w:b/>
                <w:lang w:val="uk-UA"/>
              </w:rPr>
            </w:pPr>
            <w:r w:rsidRPr="00210DA9">
              <w:rPr>
                <w:b/>
                <w:lang w:val="uk-UA"/>
              </w:rPr>
              <w:t>88,7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райони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Голосіївський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153374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13,8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50,3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Дарницький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200612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18,0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112,1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Деснянський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6363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0,6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40,8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Дніпровський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167380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15,0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148,3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Оболонський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61539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5,5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98,8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Печерський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199924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18,0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252,5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Подільський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148638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13,3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72,9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Святошинський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54762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4,9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93,0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Солом’янський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58543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5,3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30,7</w:t>
            </w:r>
          </w:p>
        </w:tc>
      </w:tr>
      <w:tr w:rsidR="00B410BD" w:rsidRPr="00210DA9" w:rsidTr="007C0C05">
        <w:tc>
          <w:tcPr>
            <w:tcW w:w="2366" w:type="dxa"/>
            <w:vAlign w:val="bottom"/>
          </w:tcPr>
          <w:p w:rsidR="00B410BD" w:rsidRPr="00210DA9" w:rsidRDefault="00B410BD" w:rsidP="007C0C05">
            <w:pPr>
              <w:ind w:left="142"/>
              <w:rPr>
                <w:noProof/>
                <w:lang w:val="uk-UA" w:eastAsia="uk-UA"/>
              </w:rPr>
            </w:pPr>
            <w:r w:rsidRPr="00210DA9">
              <w:rPr>
                <w:noProof/>
                <w:lang w:val="uk-UA" w:eastAsia="uk-UA"/>
              </w:rPr>
              <w:t>Шевченківський</w:t>
            </w:r>
          </w:p>
        </w:tc>
        <w:tc>
          <w:tcPr>
            <w:tcW w:w="2268" w:type="dxa"/>
            <w:vAlign w:val="bottom"/>
          </w:tcPr>
          <w:p w:rsidR="00B410BD" w:rsidRPr="00210DA9" w:rsidRDefault="00B410BD" w:rsidP="007C0C05">
            <w:pPr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62851</w:t>
            </w:r>
          </w:p>
        </w:tc>
        <w:tc>
          <w:tcPr>
            <w:tcW w:w="2323" w:type="dxa"/>
            <w:vAlign w:val="bottom"/>
          </w:tcPr>
          <w:p w:rsidR="00B410BD" w:rsidRPr="00210DA9" w:rsidRDefault="00B410BD" w:rsidP="007C0C05">
            <w:pPr>
              <w:jc w:val="right"/>
              <w:rPr>
                <w:lang w:val="uk-UA"/>
              </w:rPr>
            </w:pPr>
            <w:r w:rsidRPr="00210DA9">
              <w:rPr>
                <w:lang w:val="uk-UA"/>
              </w:rPr>
              <w:t>5,6</w:t>
            </w:r>
          </w:p>
        </w:tc>
        <w:tc>
          <w:tcPr>
            <w:tcW w:w="2324" w:type="dxa"/>
            <w:vAlign w:val="bottom"/>
          </w:tcPr>
          <w:p w:rsidR="00B410BD" w:rsidRPr="00210DA9" w:rsidRDefault="00B410BD" w:rsidP="007C0C05">
            <w:pPr>
              <w:snapToGrid w:val="0"/>
              <w:jc w:val="right"/>
              <w:rPr>
                <w:color w:val="000000"/>
                <w:lang w:val="uk-UA"/>
              </w:rPr>
            </w:pPr>
            <w:r w:rsidRPr="00210DA9">
              <w:rPr>
                <w:color w:val="000000"/>
                <w:lang w:val="uk-UA"/>
              </w:rPr>
              <w:t>128,2</w:t>
            </w:r>
          </w:p>
        </w:tc>
      </w:tr>
    </w:tbl>
    <w:p w:rsidR="00B410BD" w:rsidRPr="004E5675" w:rsidRDefault="00B410BD" w:rsidP="00B410BD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B410BD" w:rsidRPr="004E5675" w:rsidRDefault="00B410BD" w:rsidP="00B410BD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Найбільше прийнято в експлуатацію житла у Дарницькому та Печерському районах (200,6 тис.м</w:t>
      </w:r>
      <w:r w:rsidRPr="004E5675">
        <w:rPr>
          <w:sz w:val="28"/>
          <w:szCs w:val="28"/>
          <w:vertAlign w:val="superscript"/>
          <w:lang w:val="uk-UA"/>
        </w:rPr>
        <w:t>2</w:t>
      </w:r>
      <w:r w:rsidRPr="004E5675">
        <w:rPr>
          <w:sz w:val="28"/>
          <w:szCs w:val="28"/>
          <w:lang w:val="uk-UA"/>
        </w:rPr>
        <w:t xml:space="preserve"> та 199,9 тис.м</w:t>
      </w:r>
      <w:r w:rsidRPr="004E5675">
        <w:rPr>
          <w:sz w:val="28"/>
          <w:szCs w:val="28"/>
          <w:vertAlign w:val="superscript"/>
          <w:lang w:val="uk-UA"/>
        </w:rPr>
        <w:t>2</w:t>
      </w:r>
      <w:r w:rsidRPr="004E5675">
        <w:rPr>
          <w:sz w:val="28"/>
          <w:szCs w:val="28"/>
          <w:lang w:val="uk-UA"/>
        </w:rPr>
        <w:t xml:space="preserve"> відповідно, або 18,0% від загального обсягу площі житла по кожному району), а найменше –</w:t>
      </w:r>
      <w:r w:rsidRPr="004E5675">
        <w:rPr>
          <w:sz w:val="28"/>
          <w:szCs w:val="28"/>
          <w:lang w:val="uk-UA"/>
        </w:rPr>
        <w:br/>
        <w:t>в Деснянському (6,4 тис.м</w:t>
      </w:r>
      <w:r w:rsidRPr="004E5675">
        <w:rPr>
          <w:sz w:val="28"/>
          <w:szCs w:val="28"/>
          <w:vertAlign w:val="superscript"/>
          <w:lang w:val="uk-UA"/>
        </w:rPr>
        <w:t>2</w:t>
      </w:r>
      <w:r w:rsidRPr="004E5675">
        <w:rPr>
          <w:sz w:val="28"/>
          <w:szCs w:val="28"/>
          <w:lang w:val="uk-UA"/>
        </w:rPr>
        <w:t>, або 0,6%) районі.</w:t>
      </w:r>
    </w:p>
    <w:p w:rsidR="00B410BD" w:rsidRPr="004E5675" w:rsidRDefault="00B410BD" w:rsidP="00B410BD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>Переважну частину (94,9%, або 1056,8 тис.м</w:t>
      </w:r>
      <w:r w:rsidRPr="004E5675">
        <w:rPr>
          <w:color w:val="000000"/>
          <w:sz w:val="28"/>
          <w:szCs w:val="28"/>
          <w:vertAlign w:val="superscript"/>
          <w:lang w:val="uk-UA"/>
        </w:rPr>
        <w:t>2</w:t>
      </w:r>
      <w:r w:rsidRPr="004E5675">
        <w:rPr>
          <w:color w:val="000000"/>
          <w:sz w:val="28"/>
          <w:szCs w:val="28"/>
          <w:lang w:val="uk-UA"/>
        </w:rPr>
        <w:t>) загального обсягу житла прийнято в експлуатацію в будинках з двома та більше квартирами.</w:t>
      </w:r>
    </w:p>
    <w:p w:rsidR="00B410BD" w:rsidRPr="004E5675" w:rsidRDefault="00B410BD" w:rsidP="00B410BD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2019р. прийнято в експлуатацію 17353 квартири. Середній розмір квартири становить </w:t>
      </w:r>
      <w:smartTag w:uri="urn:schemas-microsoft-com:office:smarttags" w:element="metricconverter">
        <w:smartTagPr>
          <w:attr w:name="ProductID" w:val="64,1 м2"/>
        </w:smartTagPr>
        <w:r w:rsidRPr="004E5675">
          <w:rPr>
            <w:sz w:val="28"/>
            <w:szCs w:val="28"/>
            <w:lang w:val="uk-UA"/>
          </w:rPr>
          <w:t>64,1 м</w:t>
        </w:r>
        <w:r w:rsidRPr="004E5675">
          <w:rPr>
            <w:sz w:val="28"/>
            <w:szCs w:val="28"/>
            <w:vertAlign w:val="superscript"/>
            <w:lang w:val="uk-UA"/>
          </w:rPr>
          <w:t>2</w:t>
        </w:r>
      </w:smartTag>
      <w:r w:rsidRPr="004E5675">
        <w:rPr>
          <w:sz w:val="28"/>
          <w:szCs w:val="28"/>
          <w:lang w:val="uk-UA"/>
        </w:rPr>
        <w:t xml:space="preserve"> загальної площі.</w:t>
      </w:r>
    </w:p>
    <w:p w:rsidR="00B410BD" w:rsidRPr="004E5675" w:rsidRDefault="00B410BD" w:rsidP="00B410BD">
      <w:pPr>
        <w:tabs>
          <w:tab w:val="left" w:pos="180"/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4E5675">
        <w:rPr>
          <w:noProof/>
          <w:sz w:val="28"/>
          <w:szCs w:val="28"/>
          <w:lang w:val="uk-UA" w:eastAsia="en-US"/>
        </w:rPr>
        <w:t>Крім того, у 2019р. в м.Києві прийнято в експлуатацію дачні та садові будинки загальною площею 43,6 тис.м</w:t>
      </w:r>
      <w:r w:rsidRPr="004E5675">
        <w:rPr>
          <w:noProof/>
          <w:sz w:val="28"/>
          <w:szCs w:val="28"/>
          <w:vertAlign w:val="superscript"/>
          <w:lang w:val="uk-UA" w:eastAsia="en-US"/>
        </w:rPr>
        <w:t>2</w:t>
      </w:r>
      <w:r w:rsidRPr="004E5675">
        <w:rPr>
          <w:noProof/>
          <w:sz w:val="28"/>
          <w:szCs w:val="28"/>
          <w:lang w:val="uk-UA" w:eastAsia="en-US"/>
        </w:rPr>
        <w:t>, з яких 24,5 тис.м</w:t>
      </w:r>
      <w:r w:rsidRPr="004E5675">
        <w:rPr>
          <w:noProof/>
          <w:sz w:val="28"/>
          <w:szCs w:val="28"/>
          <w:vertAlign w:val="superscript"/>
          <w:lang w:val="uk-UA" w:eastAsia="en-US"/>
        </w:rPr>
        <w:t>2</w:t>
      </w:r>
      <w:r w:rsidRPr="004E5675">
        <w:rPr>
          <w:noProof/>
          <w:sz w:val="28"/>
          <w:szCs w:val="28"/>
          <w:lang w:val="uk-UA" w:eastAsia="en-US"/>
        </w:rPr>
        <w:t xml:space="preserve"> – відповідно до Порядку.</w:t>
      </w:r>
    </w:p>
    <w:p w:rsidR="00B410BD" w:rsidRPr="004E5675" w:rsidRDefault="00B410BD" w:rsidP="00B410BD">
      <w:pPr>
        <w:tabs>
          <w:tab w:val="left" w:pos="180"/>
          <w:tab w:val="left" w:pos="426"/>
          <w:tab w:val="left" w:pos="4253"/>
          <w:tab w:val="right" w:pos="6237"/>
          <w:tab w:val="right" w:pos="6521"/>
          <w:tab w:val="right" w:pos="8108"/>
          <w:tab w:val="right" w:pos="8222"/>
          <w:tab w:val="right" w:pos="9526"/>
          <w:tab w:val="right" w:pos="9639"/>
        </w:tabs>
        <w:ind w:firstLine="720"/>
        <w:jc w:val="both"/>
        <w:rPr>
          <w:noProof/>
          <w:sz w:val="28"/>
          <w:szCs w:val="28"/>
          <w:lang w:val="uk-UA" w:eastAsia="en-US"/>
        </w:rPr>
      </w:pPr>
      <w:r w:rsidRPr="004E5675">
        <w:rPr>
          <w:noProof/>
          <w:sz w:val="28"/>
          <w:szCs w:val="28"/>
          <w:lang w:val="uk-UA" w:eastAsia="en-US"/>
        </w:rPr>
        <w:t>У цілому загальна площа прийнятих в експлуатацію житлових будівель (включаючи дачні й садові будинки) у 2019р. становила</w:t>
      </w:r>
      <w:r w:rsidRPr="004E5675">
        <w:rPr>
          <w:noProof/>
          <w:sz w:val="28"/>
          <w:szCs w:val="28"/>
          <w:lang w:val="uk-UA" w:eastAsia="en-US"/>
        </w:rPr>
        <w:br/>
        <w:t>1157,6 тис.м</w:t>
      </w:r>
      <w:r w:rsidRPr="004E5675">
        <w:rPr>
          <w:noProof/>
          <w:sz w:val="28"/>
          <w:szCs w:val="28"/>
          <w:vertAlign w:val="superscript"/>
          <w:lang w:val="uk-UA" w:eastAsia="en-US"/>
        </w:rPr>
        <w:t>2</w:t>
      </w:r>
      <w:r w:rsidRPr="004E5675">
        <w:rPr>
          <w:noProof/>
          <w:sz w:val="28"/>
          <w:szCs w:val="28"/>
          <w:lang w:val="uk-UA" w:eastAsia="en-US"/>
        </w:rPr>
        <w:t>, що порівняно із 2018р. менше на 9,9%.</w:t>
      </w:r>
    </w:p>
    <w:p w:rsidR="003778D5" w:rsidRPr="00B410BD" w:rsidRDefault="003778D5">
      <w:pPr>
        <w:rPr>
          <w:lang w:val="uk-UA"/>
        </w:rPr>
      </w:pPr>
    </w:p>
    <w:sectPr w:rsidR="003778D5" w:rsidRPr="00B410BD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0BD"/>
    <w:rsid w:val="003778D5"/>
    <w:rsid w:val="003F71F2"/>
    <w:rsid w:val="00B4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2020-03-28T16:19:00Z</dcterms:created>
  <dcterms:modified xsi:type="dcterms:W3CDTF">2020-03-28T16:19:00Z</dcterms:modified>
</cp:coreProperties>
</file>